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520" w:lineRule="exact"/>
        <w:jc w:val="center"/>
        <w:rPr>
          <w:rFonts w:ascii="方正小标宋简体" w:hAnsi="方正小标宋简体" w:eastAsia="方正小标宋简体" w:cs="方正小标宋简体"/>
          <w:b/>
          <w:bCs/>
          <w:color w:val="333333"/>
          <w:sz w:val="30"/>
          <w:szCs w:val="30"/>
        </w:rPr>
      </w:pPr>
      <w:r>
        <w:rPr>
          <w:rFonts w:hint="eastAsia" w:ascii="方正小标宋简体" w:hAnsi="方正小标宋简体" w:eastAsia="方正小标宋简体" w:cs="方正小标宋简体"/>
          <w:b/>
          <w:bCs/>
          <w:color w:val="333333"/>
          <w:sz w:val="30"/>
          <w:szCs w:val="30"/>
        </w:rPr>
        <w:t>仪征市人民医院部分信息项目调研公告初稿</w:t>
      </w:r>
    </w:p>
    <w:p>
      <w:pPr>
        <w:shd w:val="clear" w:color="auto" w:fill="FFFFFF"/>
        <w:spacing w:after="0" w:line="520" w:lineRule="exact"/>
        <w:jc w:val="center"/>
        <w:rPr>
          <w:rFonts w:ascii="微软雅黑" w:hAnsi="微软雅黑"/>
          <w:b/>
          <w:bCs/>
          <w:sz w:val="30"/>
          <w:szCs w:val="30"/>
        </w:rPr>
      </w:pPr>
    </w:p>
    <w:p>
      <w:pPr>
        <w:shd w:val="clear" w:color="auto" w:fill="FFFFFF"/>
        <w:spacing w:after="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仪征市人民医院因医疗业务发展需求现对医院部分信息项目进行公开调研，欢迎具有相应合格资质条件及本项目所需服务能力的供应商（厂家）前来参与。本院将根据调研结果情况，依据相关法律法规进行采购。</w:t>
      </w:r>
    </w:p>
    <w:p>
      <w:pPr>
        <w:shd w:val="clear" w:color="auto" w:fill="FFFFFF"/>
        <w:spacing w:after="0" w:line="560" w:lineRule="exac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一、调研项目:</w:t>
      </w:r>
      <w:r>
        <w:rPr>
          <w:rFonts w:hint="eastAsia" w:ascii="仿宋_GB2312" w:hAnsi="仿宋_GB2312" w:eastAsia="仿宋_GB2312" w:cs="仿宋_GB2312"/>
          <w:sz w:val="32"/>
          <w:szCs w:val="32"/>
        </w:rPr>
        <w:t xml:space="preserve"> </w:t>
      </w:r>
    </w:p>
    <w:p>
      <w:pPr>
        <w:pStyle w:val="10"/>
        <w:shd w:val="clear" w:color="auto" w:fill="FFFFFF"/>
        <w:adjustRightInd w:val="0"/>
        <w:snapToGrid w:val="0"/>
        <w:spacing w:before="0" w:beforeAutospacing="0" w:after="0" w:afterAutospacing="0" w:line="560" w:lineRule="exact"/>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1、物资供应链系统，</w:t>
      </w:r>
      <w:r>
        <w:rPr>
          <w:rFonts w:hint="eastAsia" w:ascii="仿宋_GB2312" w:hAnsi="仿宋_GB2312" w:eastAsia="仿宋_GB2312" w:cs="仿宋_GB2312"/>
          <w:color w:val="333333"/>
          <w:sz w:val="32"/>
          <w:szCs w:val="32"/>
        </w:rPr>
        <w:t>预算90万元。</w:t>
      </w:r>
    </w:p>
    <w:p>
      <w:pPr>
        <w:shd w:val="clear" w:color="auto" w:fill="FFFFFF"/>
        <w:spacing w:after="0" w:line="560" w:lineRule="exac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物资供应链软件适用范围概述：医院高质量发展、国考指标数据的上报和医保数据（包括带量采购医用耗材）的上报，医院原有的物资供应链系统达不到要求，需要新的物资供应链系统。</w:t>
      </w:r>
    </w:p>
    <w:p>
      <w:pPr>
        <w:shd w:val="clear" w:color="auto" w:fill="FFFFFF"/>
        <w:spacing w:after="0" w:line="560" w:lineRule="exac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项目建设内容：</w:t>
      </w:r>
    </w:p>
    <w:p>
      <w:pPr>
        <w:shd w:val="clear" w:color="auto" w:fill="FFFFFF"/>
        <w:spacing w:after="0" w:line="560" w:lineRule="exact"/>
        <w:ind w:firstLine="480" w:firstLineChars="15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①医用耗材采购公共服务平台，需与院内供应链系统实现医院物资全流程闭环，支持实现平台企业信息、厂家信息、授权信息和字典信息院与院内数据双向同步；支持协同办公功能；支持配送企业在平台实现接收订单、配送订单、创建骨科跟台耗材订单的功能；支持配送企业在平台实现对检验试剂院内赋码的操作；支持通过短信和公众号消息推送订单、退货单和催单消息；支持通过公众号查看订单和退单内容；支持配送企业在平台查看已开票和待开票数据。</w:t>
      </w:r>
    </w:p>
    <w:p>
      <w:pPr>
        <w:shd w:val="clear" w:color="auto" w:fill="FFFFFF"/>
        <w:spacing w:after="0" w:line="560" w:lineRule="exact"/>
        <w:ind w:firstLine="480" w:firstLineChars="15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②阳光采购平台对接和网采率上报，需要满足阳光采购平台对接的要求，对院内耗材采购单实现通过接口上传，并能根据最新的政策及时进行调整；满足院内耗材运行数据符合江苏医保对网采率检查要求，并支持对医院的历史物资运行数据进行清洗标化，满足网采率检查的要求；需提供符合医保检查网采率的对接方案，并且提供江苏省三甲医院的成功案例供参考。</w:t>
      </w:r>
    </w:p>
    <w:p>
      <w:pPr>
        <w:shd w:val="clear" w:color="auto" w:fill="FFFFFF"/>
        <w:spacing w:after="0" w:line="560" w:lineRule="exact"/>
        <w:ind w:firstLine="480" w:firstLineChars="15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③检验试剂精细化管理，支持对检验试剂的贯标工作；支持实现检验试剂一物一码的管理流程，不增加医院的工作量；支持检验科的分组管理，各分组自定义管理常用试剂，实现按组的三级库管理；支持对检验科库房的试剂实现自动出库核销和自动归还入库的功能，并能准确记录操作人、操作时间、试剂唯一码、批号和效期。</w:t>
      </w:r>
    </w:p>
    <w:p>
      <w:pPr>
        <w:pStyle w:val="24"/>
        <w:shd w:val="clear" w:color="auto" w:fill="FFFFFF"/>
        <w:adjustRightInd w:val="0"/>
        <w:snapToGrid w:val="0"/>
        <w:spacing w:line="560" w:lineRule="exact"/>
        <w:ind w:firstLine="480" w:firstLineChars="15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④医院耗材的精细化管理，医院耗材需要包括高值耗材、普通耗材和后勤物资，支持对中心库和二级库房的精细化管理，针对高值耗材，需要实现全流程追溯；支持对耗材实现大、中、小三种包装单位的管理，支持部分科室对耗材自定义包装管理的日常需求，中心库支持拆包管理；支持对耗材字典、采购、入库、出库、核销和异动的BI分析报表；支持耗材字典和His系统进行对接，通过物资系统实现对价表的新增、调价、停用和启用。</w:t>
      </w:r>
    </w:p>
    <w:p>
      <w:pPr>
        <w:shd w:val="clear" w:color="auto" w:fill="FFFFFF"/>
        <w:spacing w:after="0" w:line="560" w:lineRule="exact"/>
        <w:ind w:firstLine="480" w:firstLineChars="15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⑤历史数据迁移，需要对医院物资系统的历史运行数据进行全部迁移，包括：验收、入库、出库、结存和核销数据，迁移后的历史数据需要支持与现有的运行数据合并查询的功能，并支持导出和打印，满足各上级单位抽检数据的要求。</w:t>
      </w:r>
    </w:p>
    <w:p>
      <w:pPr>
        <w:spacing w:after="0" w:line="560" w:lineRule="exac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2、合理用药整体解决方案软件</w:t>
      </w:r>
      <w:r>
        <w:rPr>
          <w:rFonts w:hint="eastAsia" w:ascii="仿宋_GB2312" w:hAnsi="仿宋_GB2312" w:eastAsia="仿宋_GB2312" w:cs="仿宋_GB2312"/>
          <w:color w:val="333333"/>
          <w:sz w:val="32"/>
          <w:szCs w:val="32"/>
        </w:rPr>
        <w:t>，预算140万。</w:t>
      </w:r>
    </w:p>
    <w:p>
      <w:pPr>
        <w:shd w:val="clear" w:color="auto" w:fill="FFFFFF"/>
        <w:spacing w:after="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项目建设内容：</w:t>
      </w:r>
    </w:p>
    <w:p>
      <w:pPr>
        <w:shd w:val="clear" w:color="auto" w:fill="FFFFFF"/>
        <w:spacing w:after="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① 处方前置审核，为药师提供专门的审方工作平台，帮助药师在患者缴费前和护士领药前完成处方及医嘱的实时审查，确保提供满足要求的药品基本规则库以及便捷的规则自定义功能，可对审方数据进行质量控制、统计分析，对重点数据进行图表展示。</w:t>
      </w:r>
    </w:p>
    <w:p>
      <w:pPr>
        <w:shd w:val="clear" w:color="auto" w:fill="FFFFFF"/>
        <w:spacing w:after="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② 处方点评，确保各类处方点评对系统的要求，包括门急诊处方点评、住院全医嘱点评及各种类型处方的专项点评，需提供患者检验、检查数据，实现病历调取；建立处方基本信息自动审查功能，提供审查规则自定义功能。可准确抓取抗菌药物临床应用监测指标、合理用药指标数据，进一步分析药品使用趋势，对药品使用情况及时预警和公示。</w:t>
      </w:r>
    </w:p>
    <w:p>
      <w:pPr>
        <w:shd w:val="clear" w:color="auto" w:fill="FFFFFF"/>
        <w:spacing w:after="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③ 合理用药信息支持，提供最新的药品说明书、药物使用指南、配伍相互作用、用药教育、临床路径、医药公式、药品最新更新信息等，确保达到医务人员合理用药查询和使用要求。</w:t>
      </w:r>
    </w:p>
    <w:p>
      <w:pPr>
        <w:shd w:val="clear" w:color="auto" w:fill="FFFFFF"/>
        <w:spacing w:after="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④ 集采药品智能管理，对集采药品进行动态监测，每月自动分析集采药品完成情况；测算集采药品历史使用情况，精准分配临床科室、医疗组和医生的每月任务量；设置白名单，管理集采药品使用情况，向医生推送有关提示内容，统计分析集采药品相关报表。</w:t>
      </w:r>
    </w:p>
    <w:p>
      <w:pPr>
        <w:shd w:val="clear" w:color="auto" w:fill="FFFFFF"/>
        <w:spacing w:after="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⑤ 临床药师工作站，包含门诊患者管理系统和住院患者监护系统。门诊系统应当满足临床药师为患者建立档案、药物咨询管理、用药咨询与用药指导的需求，具有统计和分析功能。住院系统应能自动筛选出需重点监护的患者，主动调取患者基本信息，提供入院评估表，程序自动审查结果，生成药物重整计划，导入历史监护计划，生成全程化药学监护记录。并提供药师带教学习功能、医药交互、用药问题咨询和解答、药学查房、药学监护的详细记录，对临床药师工作情况进行统计和分析。</w:t>
      </w:r>
    </w:p>
    <w:p>
      <w:pPr>
        <w:pStyle w:val="10"/>
        <w:shd w:val="clear" w:color="auto" w:fill="FFFFFF"/>
        <w:spacing w:before="0" w:beforeAutospacing="0" w:after="0" w:afterAutospacing="0" w:line="560" w:lineRule="exact"/>
        <w:ind w:firstLine="643" w:firstLineChars="200"/>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二、资格要求：</w:t>
      </w:r>
    </w:p>
    <w:p>
      <w:pPr>
        <w:pStyle w:val="9"/>
        <w:shd w:val="clear" w:color="auto" w:fill="FFFFFF"/>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（一）参加调研的</w:t>
      </w:r>
      <w:r>
        <w:rPr>
          <w:rFonts w:hint="eastAsia" w:ascii="仿宋_GB2312" w:hAnsi="仿宋_GB2312" w:eastAsia="仿宋_GB2312" w:cs="仿宋_GB2312"/>
          <w:color w:val="333333"/>
          <w:sz w:val="32"/>
          <w:szCs w:val="32"/>
        </w:rPr>
        <w:t>供应商（厂家）</w:t>
      </w:r>
      <w:r>
        <w:rPr>
          <w:rFonts w:hint="eastAsia" w:ascii="仿宋_GB2312" w:hAnsi="仿宋_GB2312" w:eastAsia="仿宋_GB2312" w:cs="仿宋_GB2312"/>
          <w:color w:val="000000"/>
          <w:sz w:val="32"/>
          <w:szCs w:val="32"/>
          <w:shd w:val="clear" w:color="auto" w:fill="FFFFFF"/>
        </w:rPr>
        <w:t>必须符合相关法律法规规定的条件：</w:t>
      </w:r>
    </w:p>
    <w:p>
      <w:pPr>
        <w:pStyle w:val="9"/>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1、在国内工商管理部门注册，具有独立的法人资格，营业执照经营范围必须包含本项目的内容；</w:t>
      </w:r>
    </w:p>
    <w:p>
      <w:pPr>
        <w:pStyle w:val="9"/>
        <w:shd w:val="clear" w:color="auto" w:fill="FFFFFF"/>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2、未被“信用中国”网站(www.creditchina.gov.cn)、“中国政府采购网”(www.ccgp.gov.cn)列入失信被执行人、重大税收违法案件当事人名单、政府采购严重违法失信行为记录名单；</w:t>
      </w:r>
    </w:p>
    <w:p>
      <w:pPr>
        <w:pStyle w:val="9"/>
        <w:shd w:val="clear" w:color="auto" w:fill="FFFFFF"/>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有依法缴纳税收和社会保障资金的良好记录</w:t>
      </w:r>
      <w:r>
        <w:rPr>
          <w:rFonts w:hint="eastAsia" w:ascii="仿宋_GB2312" w:hAnsi="仿宋_GB2312" w:eastAsia="仿宋_GB2312" w:cs="仿宋_GB2312"/>
          <w:color w:val="000000"/>
          <w:sz w:val="32"/>
          <w:szCs w:val="32"/>
          <w:shd w:val="clear" w:color="auto" w:fill="FFFFFF"/>
          <w:lang w:val="en-US" w:eastAsia="zh-CN"/>
        </w:rPr>
        <w:t>（提供近三个月内任意一份依法缴纳税收和社会保障资金的相关材料）</w:t>
      </w:r>
      <w:r>
        <w:rPr>
          <w:rFonts w:hint="eastAsia" w:ascii="仿宋_GB2312" w:hAnsi="仿宋_GB2312" w:eastAsia="仿宋_GB2312" w:cs="仿宋_GB2312"/>
          <w:color w:val="000000"/>
          <w:sz w:val="32"/>
          <w:szCs w:val="32"/>
          <w:shd w:val="clear" w:color="auto" w:fill="FFFFFF"/>
        </w:rPr>
        <w:t>；</w:t>
      </w:r>
    </w:p>
    <w:p>
      <w:pPr>
        <w:pStyle w:val="9"/>
        <w:shd w:val="clear" w:color="auto" w:fill="FFFFFF"/>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相关</w:t>
      </w:r>
      <w:r>
        <w:rPr>
          <w:rFonts w:hint="eastAsia" w:ascii="仿宋_GB2312" w:hAnsi="仿宋_GB2312" w:eastAsia="仿宋_GB2312" w:cs="仿宋_GB2312"/>
          <w:color w:val="000000"/>
          <w:sz w:val="32"/>
          <w:szCs w:val="32"/>
          <w:shd w:val="clear" w:color="auto" w:fill="FFFFFF"/>
        </w:rPr>
        <w:t>资质；</w:t>
      </w:r>
    </w:p>
    <w:p>
      <w:pPr>
        <w:pStyle w:val="9"/>
        <w:shd w:val="clear" w:color="auto" w:fill="FFFFFF"/>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提供法定代表人授权书；</w:t>
      </w:r>
      <w:bookmarkStart w:id="0" w:name="_GoBack"/>
      <w:bookmarkEnd w:id="0"/>
    </w:p>
    <w:p>
      <w:pPr>
        <w:pStyle w:val="9"/>
        <w:shd w:val="clear" w:color="auto" w:fill="FFFFFF"/>
        <w:spacing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、本项目不接受联合体调研。</w:t>
      </w:r>
    </w:p>
    <w:p>
      <w:pPr>
        <w:shd w:val="clear" w:color="auto" w:fill="FFFFFF"/>
        <w:spacing w:after="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（二）拒绝下述供应商参加本次投标活动：</w:t>
      </w:r>
    </w:p>
    <w:p>
      <w:pPr>
        <w:shd w:val="clear" w:color="auto" w:fill="FFFFFF"/>
        <w:spacing w:after="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1、供应商单位负责人为同一人或者存在直接控股、管理关系的不同供应商，不得参加同一合同项下的采购活动；</w:t>
      </w:r>
    </w:p>
    <w:p>
      <w:pPr>
        <w:shd w:val="clear" w:color="auto" w:fill="FFFFFF"/>
        <w:spacing w:after="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2、供应商保证院方在使用、接受服务或其任何一部分时，不受第三方提出侵犯其专利权、版权、商标权和工业设计权等知识产权的起诉。一旦出现侵权，由供应商负全部责任；</w:t>
      </w:r>
    </w:p>
    <w:p>
      <w:pPr>
        <w:pStyle w:val="5"/>
        <w:autoSpaceDE w:val="0"/>
        <w:autoSpaceDN w:val="0"/>
        <w:adjustRightInd w:val="0"/>
        <w:snapToGrid w:val="0"/>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3、本项目不接受联合体投标、禁止转包或分包。</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YTdjZjZkZWFmOGY2ZmU3N2Q5ZTZiMThmMTgzYjQwZmQifQ=="/>
  </w:docVars>
  <w:rsids>
    <w:rsidRoot w:val="00D31D50"/>
    <w:rsid w:val="000117DF"/>
    <w:rsid w:val="000C5509"/>
    <w:rsid w:val="000D639E"/>
    <w:rsid w:val="0014690B"/>
    <w:rsid w:val="00152955"/>
    <w:rsid w:val="001555AC"/>
    <w:rsid w:val="00170BE8"/>
    <w:rsid w:val="00181015"/>
    <w:rsid w:val="001905DB"/>
    <w:rsid w:val="00206FA0"/>
    <w:rsid w:val="00213426"/>
    <w:rsid w:val="00234B16"/>
    <w:rsid w:val="00244948"/>
    <w:rsid w:val="00254E2D"/>
    <w:rsid w:val="00255088"/>
    <w:rsid w:val="00255E08"/>
    <w:rsid w:val="00263B86"/>
    <w:rsid w:val="00266AEE"/>
    <w:rsid w:val="00273A9D"/>
    <w:rsid w:val="00284DCD"/>
    <w:rsid w:val="002866CA"/>
    <w:rsid w:val="00312F73"/>
    <w:rsid w:val="00316421"/>
    <w:rsid w:val="00323B43"/>
    <w:rsid w:val="00333DFA"/>
    <w:rsid w:val="00351B2E"/>
    <w:rsid w:val="003845B0"/>
    <w:rsid w:val="00395E4B"/>
    <w:rsid w:val="003973E7"/>
    <w:rsid w:val="003D37D8"/>
    <w:rsid w:val="003E1E41"/>
    <w:rsid w:val="004130E8"/>
    <w:rsid w:val="0041462B"/>
    <w:rsid w:val="00426133"/>
    <w:rsid w:val="004358AB"/>
    <w:rsid w:val="00480385"/>
    <w:rsid w:val="0048060A"/>
    <w:rsid w:val="004A4EEA"/>
    <w:rsid w:val="005556AC"/>
    <w:rsid w:val="00583C3E"/>
    <w:rsid w:val="005A698B"/>
    <w:rsid w:val="005B6E0F"/>
    <w:rsid w:val="005D5A76"/>
    <w:rsid w:val="00607000"/>
    <w:rsid w:val="00667991"/>
    <w:rsid w:val="006767F6"/>
    <w:rsid w:val="006A521A"/>
    <w:rsid w:val="006B3411"/>
    <w:rsid w:val="006B66A9"/>
    <w:rsid w:val="006C6B75"/>
    <w:rsid w:val="006D2245"/>
    <w:rsid w:val="006D2C98"/>
    <w:rsid w:val="0071502B"/>
    <w:rsid w:val="00723329"/>
    <w:rsid w:val="007427D7"/>
    <w:rsid w:val="00751A57"/>
    <w:rsid w:val="00757D5F"/>
    <w:rsid w:val="007603B9"/>
    <w:rsid w:val="007725BF"/>
    <w:rsid w:val="00782A6D"/>
    <w:rsid w:val="007848BC"/>
    <w:rsid w:val="007A4485"/>
    <w:rsid w:val="00885FC0"/>
    <w:rsid w:val="00895A1A"/>
    <w:rsid w:val="008B7726"/>
    <w:rsid w:val="008C1B23"/>
    <w:rsid w:val="008F0FCA"/>
    <w:rsid w:val="00953DFF"/>
    <w:rsid w:val="00960145"/>
    <w:rsid w:val="00992A77"/>
    <w:rsid w:val="00996DC1"/>
    <w:rsid w:val="009A008A"/>
    <w:rsid w:val="009E60EF"/>
    <w:rsid w:val="009E7313"/>
    <w:rsid w:val="00A23607"/>
    <w:rsid w:val="00A6713B"/>
    <w:rsid w:val="00A75AC4"/>
    <w:rsid w:val="00AA0C5E"/>
    <w:rsid w:val="00AC7765"/>
    <w:rsid w:val="00B347C3"/>
    <w:rsid w:val="00B37ED7"/>
    <w:rsid w:val="00B5569A"/>
    <w:rsid w:val="00B61A82"/>
    <w:rsid w:val="00BD5D4E"/>
    <w:rsid w:val="00BD6247"/>
    <w:rsid w:val="00BE614E"/>
    <w:rsid w:val="00C06D22"/>
    <w:rsid w:val="00C1127F"/>
    <w:rsid w:val="00C9072E"/>
    <w:rsid w:val="00C92710"/>
    <w:rsid w:val="00CE22F7"/>
    <w:rsid w:val="00D031D2"/>
    <w:rsid w:val="00D217BA"/>
    <w:rsid w:val="00D31D50"/>
    <w:rsid w:val="00D56B5E"/>
    <w:rsid w:val="00D75D3B"/>
    <w:rsid w:val="00DB4747"/>
    <w:rsid w:val="00DD5735"/>
    <w:rsid w:val="00DE7486"/>
    <w:rsid w:val="00DF316D"/>
    <w:rsid w:val="00E4162C"/>
    <w:rsid w:val="00E45CA5"/>
    <w:rsid w:val="00E46141"/>
    <w:rsid w:val="00E538EC"/>
    <w:rsid w:val="00E604FE"/>
    <w:rsid w:val="00E712D5"/>
    <w:rsid w:val="00EA0C4A"/>
    <w:rsid w:val="00EA6437"/>
    <w:rsid w:val="00EF7DA6"/>
    <w:rsid w:val="00EF7E2A"/>
    <w:rsid w:val="00F110F5"/>
    <w:rsid w:val="00F413A5"/>
    <w:rsid w:val="00F55164"/>
    <w:rsid w:val="00F5735A"/>
    <w:rsid w:val="00F5775A"/>
    <w:rsid w:val="00F733DE"/>
    <w:rsid w:val="00F9025E"/>
    <w:rsid w:val="00F95824"/>
    <w:rsid w:val="00FD38B0"/>
    <w:rsid w:val="00FE0DCD"/>
    <w:rsid w:val="00FF6A34"/>
    <w:rsid w:val="08BF01F0"/>
    <w:rsid w:val="36987E15"/>
    <w:rsid w:val="37787424"/>
    <w:rsid w:val="382303E6"/>
    <w:rsid w:val="3AD058F1"/>
    <w:rsid w:val="538E0E3E"/>
    <w:rsid w:val="580B2925"/>
    <w:rsid w:val="65C4058F"/>
    <w:rsid w:val="6F9D2996"/>
    <w:rsid w:val="71AF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semiHidden/>
    <w:unhideWhenUsed/>
    <w:qFormat/>
    <w:uiPriority w:val="99"/>
    <w:pPr>
      <w:spacing w:after="120"/>
    </w:pPr>
  </w:style>
  <w:style w:type="paragraph" w:styleId="3">
    <w:name w:val="toc 2"/>
    <w:basedOn w:val="1"/>
    <w:next w:val="1"/>
    <w:qFormat/>
    <w:uiPriority w:val="39"/>
    <w:pPr>
      <w:ind w:left="420" w:leftChars="200"/>
    </w:pPr>
  </w:style>
  <w:style w:type="paragraph" w:styleId="4">
    <w:name w:val="Body Text Indent"/>
    <w:basedOn w:val="1"/>
    <w:link w:val="18"/>
    <w:semiHidden/>
    <w:unhideWhenUsed/>
    <w:qFormat/>
    <w:uiPriority w:val="99"/>
    <w:pPr>
      <w:spacing w:after="120"/>
      <w:ind w:left="420" w:leftChars="200"/>
    </w:pPr>
  </w:style>
  <w:style w:type="paragraph" w:styleId="5">
    <w:name w:val="Plain Text"/>
    <w:basedOn w:val="1"/>
    <w:link w:val="27"/>
    <w:qFormat/>
    <w:uiPriority w:val="0"/>
    <w:pPr>
      <w:widowControl w:val="0"/>
      <w:adjustRightInd/>
      <w:snapToGrid/>
      <w:spacing w:after="0"/>
      <w:jc w:val="both"/>
    </w:pPr>
    <w:rPr>
      <w:rFonts w:ascii="宋体" w:hAnsi="Courier New" w:eastAsiaTheme="minorEastAsia"/>
      <w:kern w:val="2"/>
      <w:sz w:val="21"/>
    </w:rPr>
  </w:style>
  <w:style w:type="paragraph" w:styleId="6">
    <w:name w:val="Balloon Text"/>
    <w:basedOn w:val="1"/>
    <w:link w:val="21"/>
    <w:semiHidden/>
    <w:unhideWhenUsed/>
    <w:qFormat/>
    <w:uiPriority w:val="99"/>
    <w:pPr>
      <w:spacing w:after="0"/>
    </w:pPr>
    <w:rPr>
      <w:sz w:val="18"/>
      <w:szCs w:val="18"/>
    </w:rPr>
  </w:style>
  <w:style w:type="paragraph" w:styleId="7">
    <w:name w:val="footer"/>
    <w:basedOn w:val="1"/>
    <w:link w:val="23"/>
    <w:unhideWhenUsed/>
    <w:qFormat/>
    <w:uiPriority w:val="0"/>
    <w:pPr>
      <w:tabs>
        <w:tab w:val="center" w:pos="4153"/>
        <w:tab w:val="right" w:pos="8306"/>
      </w:tabs>
    </w:pPr>
    <w:rPr>
      <w:sz w:val="18"/>
      <w:szCs w:val="18"/>
    </w:rPr>
  </w:style>
  <w:style w:type="paragraph" w:styleId="8">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adjustRightInd/>
      <w:snapToGrid/>
      <w:spacing w:after="135"/>
    </w:pPr>
    <w:rPr>
      <w:rFonts w:ascii="宋体" w:hAnsi="宋体" w:eastAsia="宋体" w:cs="宋体"/>
      <w:sz w:val="24"/>
      <w:szCs w:val="24"/>
    </w:rPr>
  </w:style>
  <w:style w:type="paragraph" w:styleId="10">
    <w:name w:val="Body Text First Indent"/>
    <w:basedOn w:val="2"/>
    <w:link w:val="17"/>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paragraph" w:customStyle="1" w:styleId="15">
    <w:name w:val="15"/>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6">
    <w:name w:val="正文文本 Char"/>
    <w:basedOn w:val="12"/>
    <w:link w:val="2"/>
    <w:semiHidden/>
    <w:qFormat/>
    <w:uiPriority w:val="99"/>
    <w:rPr>
      <w:rFonts w:ascii="Tahoma" w:hAnsi="Tahoma"/>
    </w:rPr>
  </w:style>
  <w:style w:type="character" w:customStyle="1" w:styleId="17">
    <w:name w:val="正文首行缩进 Char"/>
    <w:basedOn w:val="16"/>
    <w:link w:val="10"/>
    <w:qFormat/>
    <w:uiPriority w:val="99"/>
    <w:rPr>
      <w:rFonts w:ascii="宋体" w:hAnsi="宋体" w:eastAsia="宋体" w:cs="宋体"/>
      <w:sz w:val="24"/>
      <w:szCs w:val="24"/>
    </w:rPr>
  </w:style>
  <w:style w:type="character" w:customStyle="1" w:styleId="18">
    <w:name w:val="正文文本缩进 Char"/>
    <w:basedOn w:val="12"/>
    <w:link w:val="4"/>
    <w:semiHidden/>
    <w:qFormat/>
    <w:uiPriority w:val="99"/>
    <w:rPr>
      <w:rFonts w:ascii="Tahoma" w:hAnsi="Tahoma"/>
    </w:rPr>
  </w:style>
  <w:style w:type="paragraph" w:customStyle="1" w:styleId="19">
    <w:name w:val="19"/>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0">
    <w:name w:val="p"/>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1">
    <w:name w:val="批注框文本 Char"/>
    <w:basedOn w:val="12"/>
    <w:link w:val="6"/>
    <w:semiHidden/>
    <w:qFormat/>
    <w:uiPriority w:val="99"/>
    <w:rPr>
      <w:rFonts w:ascii="Tahoma" w:hAnsi="Tahoma"/>
      <w:sz w:val="18"/>
      <w:szCs w:val="18"/>
    </w:rPr>
  </w:style>
  <w:style w:type="character" w:customStyle="1" w:styleId="22">
    <w:name w:val="页眉 Char"/>
    <w:basedOn w:val="12"/>
    <w:link w:val="8"/>
    <w:semiHidden/>
    <w:qFormat/>
    <w:uiPriority w:val="99"/>
    <w:rPr>
      <w:rFonts w:ascii="Tahoma" w:hAnsi="Tahoma"/>
      <w:sz w:val="18"/>
      <w:szCs w:val="18"/>
    </w:rPr>
  </w:style>
  <w:style w:type="character" w:customStyle="1" w:styleId="23">
    <w:name w:val="页脚 Char"/>
    <w:basedOn w:val="12"/>
    <w:link w:val="7"/>
    <w:qFormat/>
    <w:uiPriority w:val="0"/>
    <w:rPr>
      <w:rFonts w:ascii="Tahoma" w:hAnsi="Tahoma"/>
      <w:sz w:val="18"/>
      <w:szCs w:val="18"/>
    </w:rPr>
  </w:style>
  <w:style w:type="paragraph" w:styleId="24">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szCs w:val="24"/>
    </w:rPr>
  </w:style>
  <w:style w:type="paragraph" w:customStyle="1" w:styleId="25">
    <w:name w:val="样式 首行缩进:  2 字符"/>
    <w:basedOn w:val="1"/>
    <w:qFormat/>
    <w:uiPriority w:val="0"/>
    <w:pPr>
      <w:widowControl w:val="0"/>
      <w:adjustRightInd/>
      <w:snapToGrid/>
      <w:spacing w:after="0"/>
      <w:ind w:firstLine="560"/>
      <w:jc w:val="both"/>
    </w:pPr>
    <w:rPr>
      <w:rFonts w:eastAsia="仿宋_GB2312" w:cs="宋体" w:asciiTheme="minorHAnsi" w:hAnsiTheme="minorHAnsi"/>
      <w:kern w:val="2"/>
      <w:sz w:val="24"/>
      <w:szCs w:val="20"/>
    </w:rPr>
  </w:style>
  <w:style w:type="character" w:customStyle="1" w:styleId="26">
    <w:name w:val="纯文本 Char"/>
    <w:basedOn w:val="12"/>
    <w:link w:val="5"/>
    <w:semiHidden/>
    <w:qFormat/>
    <w:uiPriority w:val="99"/>
    <w:rPr>
      <w:rFonts w:ascii="宋体" w:hAnsi="Courier New" w:eastAsia="宋体" w:cs="Courier New"/>
      <w:sz w:val="21"/>
      <w:szCs w:val="21"/>
    </w:rPr>
  </w:style>
  <w:style w:type="character" w:customStyle="1" w:styleId="27">
    <w:name w:val="纯文本 Char1"/>
    <w:basedOn w:val="12"/>
    <w:link w:val="5"/>
    <w:qFormat/>
    <w:uiPriority w:val="0"/>
    <w:rPr>
      <w:rFonts w:ascii="宋体" w:hAnsi="Courier New" w:eastAsiaTheme="minorEastAsia"/>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322</Words>
  <Characters>1837</Characters>
  <Lines>15</Lines>
  <Paragraphs>4</Paragraphs>
  <TotalTime>2</TotalTime>
  <ScaleCrop>false</ScaleCrop>
  <LinksUpToDate>false</LinksUpToDate>
  <CharactersWithSpaces>2155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2023-09-01T02:58:00Z</dcterms:created>
  <dc:creator>Administrator</dc:creator>
  <cp:lastModifiedBy>张驰有度</cp:lastModifiedBy>
  <dcterms:modified xsi:type="dcterms:W3CDTF">2023-09-08T00:48:45Z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9BF5B768646A40C98094BA192747F376_12</vt:lpwstr>
  </property>
</Properties>
</file>