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仪征市人民医院</w:t>
      </w:r>
      <w:r>
        <w:rPr>
          <w:rFonts w:hint="eastAsia"/>
          <w:b/>
          <w:bCs/>
          <w:sz w:val="28"/>
          <w:szCs w:val="28"/>
          <w:lang w:val="en-US" w:eastAsia="zh-CN"/>
        </w:rPr>
        <w:t>滨江新城医疗项目社会稳定风险评估任务书编制项目招标参数</w:t>
      </w:r>
    </w:p>
    <w:p>
      <w:pPr>
        <w:pStyle w:val="19"/>
        <w:wordWrap w:val="0"/>
        <w:rPr>
          <w:rFonts w:ascii="宋体" w:hAnsi="宋体"/>
        </w:rPr>
      </w:pPr>
    </w:p>
    <w:p>
      <w:pPr>
        <w:pStyle w:val="5"/>
        <w:spacing w:before="160" w:after="160" w:line="360" w:lineRule="auto"/>
        <w:rPr>
          <w:rFonts w:hint="eastAsia" w:ascii="宋体" w:hAnsi="宋体" w:eastAsia="宋体"/>
          <w:color w:val="auto"/>
          <w:sz w:val="24"/>
          <w:szCs w:val="24"/>
          <w:lang w:eastAsia="zh-CN"/>
        </w:rPr>
      </w:pPr>
      <w:bookmarkStart w:id="0" w:name="_Toc245698548"/>
      <w:r>
        <w:rPr>
          <w:rFonts w:hint="eastAsia" w:ascii="宋体" w:hAnsi="宋体" w:eastAsia="宋体"/>
          <w:color w:val="auto"/>
          <w:sz w:val="24"/>
          <w:szCs w:val="24"/>
        </w:rPr>
        <w:t>一、项目背景</w:t>
      </w:r>
      <w:bookmarkEnd w:id="0"/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：</w:t>
      </w:r>
    </w:p>
    <w:p>
      <w:pPr>
        <w:pStyle w:val="5"/>
        <w:spacing w:before="160" w:after="160" w:line="360" w:lineRule="auto"/>
        <w:rPr>
          <w:rFonts w:ascii="宋体" w:hAnsi="宋体" w:eastAsia="宋体"/>
          <w:color w:val="auto"/>
          <w:sz w:val="24"/>
          <w:szCs w:val="24"/>
        </w:rPr>
      </w:pPr>
      <w:bookmarkStart w:id="1" w:name="_Toc245698549"/>
      <w:r>
        <w:rPr>
          <w:rFonts w:hint="eastAsia" w:ascii="宋体" w:hAnsi="宋体" w:eastAsia="宋体"/>
          <w:color w:val="auto"/>
          <w:sz w:val="24"/>
          <w:szCs w:val="24"/>
        </w:rPr>
        <w:t>1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color w:val="auto"/>
          <w:sz w:val="24"/>
          <w:szCs w:val="24"/>
        </w:rPr>
        <w:t>项目名称</w:t>
      </w:r>
      <w:bookmarkEnd w:id="1"/>
    </w:p>
    <w:p>
      <w:pPr>
        <w:pStyle w:val="20"/>
        <w:spacing w:line="360" w:lineRule="auto"/>
        <w:ind w:firstLine="48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本项目名称为：</w:t>
      </w:r>
      <w:r>
        <w:rPr>
          <w:rFonts w:hint="eastAsia" w:ascii="宋体" w:hAnsi="宋体" w:eastAsia="宋体" w:cs="Times New Roman"/>
          <w:u w:val="none"/>
        </w:rPr>
        <w:t>仪征市人民医院</w:t>
      </w:r>
      <w:r>
        <w:rPr>
          <w:rFonts w:hint="eastAsia" w:ascii="宋体" w:hAnsi="宋体" w:eastAsia="宋体" w:cs="Times New Roman"/>
          <w:u w:val="none"/>
          <w:lang w:val="en-US" w:eastAsia="zh-CN"/>
        </w:rPr>
        <w:t>滨江新城医疗项目社会稳定风险评估任务书编制项目。</w:t>
      </w:r>
    </w:p>
    <w:p>
      <w:pPr>
        <w:pStyle w:val="5"/>
        <w:spacing w:before="160" w:after="160" w:line="360" w:lineRule="auto"/>
        <w:jc w:val="left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/>
          <w:color w:val="auto"/>
          <w:sz w:val="24"/>
          <w:szCs w:val="24"/>
        </w:rPr>
        <w:t>平面布置图</w:t>
      </w:r>
      <w:r>
        <w:drawing>
          <wp:inline distT="0" distB="0" distL="114300" distR="114300">
            <wp:extent cx="5022850" cy="34855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l="22307" t="3981" r="32681" b="-2576"/>
                    <a:stretch>
                      <a:fillRect/>
                    </a:stretch>
                  </pic:blipFill>
                  <pic:spPr>
                    <a:xfrm>
                      <a:off x="0" y="0"/>
                      <a:ext cx="5022850" cy="348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eastAsia="宋体"/>
          <w:color w:val="auto"/>
          <w:sz w:val="24"/>
          <w:szCs w:val="24"/>
          <w:lang w:eastAsia="zh-CN"/>
        </w:rPr>
      </w:pPr>
    </w:p>
    <w:p>
      <w:pPr>
        <w:pStyle w:val="20"/>
        <w:spacing w:line="360" w:lineRule="auto"/>
        <w:ind w:firstLine="480"/>
        <w:jc w:val="center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项目平面布置图</w:t>
      </w:r>
    </w:p>
    <w:p>
      <w:pPr>
        <w:pStyle w:val="5"/>
        <w:spacing w:before="160" w:after="160" w:line="360" w:lineRule="auto"/>
        <w:rPr>
          <w:rFonts w:hint="eastAsia" w:ascii="宋体" w:hAnsi="宋体" w:eastAsia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项目背景</w:t>
      </w:r>
    </w:p>
    <w:p>
      <w:pPr>
        <w:spacing w:line="360" w:lineRule="auto"/>
        <w:ind w:firstLine="480" w:firstLineChars="200"/>
        <w:rPr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滨江新城位于仪征市区东部，地理位置优越、交通便捷，是展示现代化滨江城市风貌的综合性功能片区，滨江新城作为城市新中心也是市重点建设区域。目前仪征市东区医疗资源紧缺，全市医疗服务需求不断增长，医疗卫生服务基础设施亟待建设。仪委发[2020]1号文，《关于2020年民生幸福工程的实施意见》第8条、提升医疗水平，优化医疗资源布局，开工建设人民医院东区院。计划在滨江新城按三级医院标准新建仪征市人民医院（即仪征市人民医院</w:t>
      </w:r>
      <w:r>
        <w:rPr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滨江新城医疗项目</w:t>
      </w:r>
      <w:r>
        <w:rPr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）。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kern w:val="0"/>
          <w:sz w:val="24"/>
          <w:szCs w:val="24"/>
          <w:lang w:val="en-US" w:eastAsia="zh-CN" w:bidi="ar-SA"/>
        </w:rPr>
        <w:t>编制依据：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1、中共中央办公厅、国务院办公厅《关于加强新形势下重大决策社会稳定风险评估机制建设的意见》（中办发[2021]11号）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2、中共江苏省委办公厅、江苏省政府办公厅《关于加强新形势下重大决策社会稳定风险评估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《第三方社会稳定风险评估规范》（江苏省地方标准DB32/T4031-2021）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机制建设的实施意见》（苏办发[2021]15号）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4、中共扬州市委办公室、扬州市政府办公室《关于加强新形势下重大决策社会稳定风险评估工作的实施意见》（扬办发[2021]34号）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5、《重大行政决策程序暂行条例》（国务院令713号）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6、国家、省、市有关设计规范、标准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7、采购人提供的有关资料等。</w:t>
      </w:r>
    </w:p>
    <w:p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三、编制范围：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仪征市人民医院</w:t>
      </w: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  <w:t>滨江新城医疗项目</w:t>
      </w:r>
      <w:r>
        <w:rPr>
          <w:rFonts w:hint="eastAsia" w:ascii="宋体" w:hAnsi="宋体" w:cs="Times New Roman"/>
          <w:kern w:val="2"/>
          <w:sz w:val="24"/>
          <w:szCs w:val="24"/>
          <w:highlight w:val="none"/>
          <w:lang w:val="en-US" w:eastAsia="zh-CN" w:bidi="ar-SA"/>
        </w:rPr>
        <w:t>位于省道S333（S125）以东、古运河路以南、国民路以北。</w:t>
      </w: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  <w:t>规划用地201亩，建筑总面积约18.5万平方米，其中地上建筑面积约13万平方米，地下建筑面积约5.5万平方米，主要建设内容包括医疗综合楼、教学综合楼、健康管理中心、感染楼、液氧站、污水处理站、垃圾站以及集中绿化、道路广场、地下车库等公共配套项目。</w:t>
      </w:r>
    </w:p>
    <w:p>
      <w:pPr>
        <w:spacing w:line="360" w:lineRule="auto"/>
        <w:rPr>
          <w:rFonts w:hint="default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四、工作重点：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24"/>
          <w:szCs w:val="24"/>
          <w:highlight w:val="none"/>
          <w:lang w:val="en-US" w:eastAsia="zh-CN" w:bidi="ar-SA"/>
        </w:rPr>
        <w:t>该项目稳评工作重点为项目对周边群众的影响，直接利益相关群体主要为项目周边的老百姓。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lang w:val="en-US" w:eastAsia="zh-CN"/>
        </w:rPr>
      </w:pPr>
      <w:r>
        <w:rPr>
          <w:rFonts w:hint="eastAsia" w:ascii="宋体" w:hAnsi="宋体" w:cs="Times New Roman"/>
          <w:kern w:val="2"/>
          <w:sz w:val="24"/>
          <w:szCs w:val="24"/>
          <w:highlight w:val="none"/>
          <w:lang w:val="en-US" w:eastAsia="zh-CN" w:bidi="ar-SA"/>
        </w:rPr>
        <w:t>通过问卷调查、走访等手段，主动向相关利益群体宣传相关法律、法规、政策，排查项目可能存在的涉稳因素。通过科学分析积极疏导相关矛盾纠纷，提出化解涉稳因素的措施、方法，达到降低涉稳因素的稳定风险目的。最后，通过项目稳评工作，提出相应的建议。</w:t>
      </w: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zh-CN" w:eastAsia="zh-CN" w:bidi="ar-SA"/>
        </w:rPr>
        <w:t>并按要求编制完成社会稳定风险评估报告。报告编制完成后协助甲方组织专家进行评审并送</w:t>
      </w:r>
      <w:r>
        <w:rPr>
          <w:rFonts w:hint="eastAsia" w:ascii="宋体" w:hAnsi="宋体"/>
          <w:sz w:val="24"/>
          <w:szCs w:val="24"/>
          <w:lang w:val="en-US" w:eastAsia="zh-CN"/>
        </w:rPr>
        <w:t>稳评主管部门备案</w:t>
      </w: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zh-CN" w:eastAsia="zh-CN" w:bidi="ar-SA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五、工作方法和工作步骤：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24"/>
          <w:szCs w:val="24"/>
          <w:highlight w:val="none"/>
          <w:lang w:val="en-US" w:eastAsia="zh-CN" w:bidi="ar-SA"/>
        </w:rPr>
        <w:t>（1）成立稳评工作组，阅读项目可研报告等材料，了解项目概况。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24"/>
          <w:szCs w:val="24"/>
          <w:highlight w:val="none"/>
          <w:lang w:val="en-US" w:eastAsia="zh-CN" w:bidi="ar-SA"/>
        </w:rPr>
        <w:t>（2）实地勘察项目，对项目大致情况进行初步摸底。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24"/>
          <w:szCs w:val="24"/>
          <w:highlight w:val="none"/>
          <w:lang w:val="en-US" w:eastAsia="zh-CN" w:bidi="ar-SA"/>
        </w:rPr>
        <w:t>（3）在项目所在地发布公示，确保项目周边居民的知情权，获取群众对项目的意见和建议。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24"/>
          <w:szCs w:val="24"/>
          <w:highlight w:val="none"/>
          <w:lang w:val="en-US" w:eastAsia="zh-CN" w:bidi="ar-SA"/>
        </w:rPr>
        <w:t>（4）对项目周边的群众进行问卷调查。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24"/>
          <w:szCs w:val="24"/>
          <w:highlight w:val="none"/>
          <w:lang w:val="en-US" w:eastAsia="zh-CN" w:bidi="ar-SA"/>
        </w:rPr>
        <w:t>（5）走访项目实施单位、项目主管部门等相关单位，了解该项目对区域经济社会环境可能造成的影响。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24"/>
          <w:szCs w:val="24"/>
          <w:highlight w:val="none"/>
          <w:lang w:val="en-US" w:eastAsia="zh-CN" w:bidi="ar-SA"/>
        </w:rPr>
        <w:t>（6）编制《评估报告》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24"/>
          <w:szCs w:val="24"/>
          <w:highlight w:val="none"/>
          <w:lang w:val="en-US" w:eastAsia="zh-CN" w:bidi="ar-SA"/>
        </w:rPr>
        <w:t>（7）《评估报告》报送至</w:t>
      </w:r>
      <w:r>
        <w:rPr>
          <w:rFonts w:hint="eastAsia" w:ascii="宋体" w:hAnsi="宋体"/>
          <w:sz w:val="24"/>
          <w:szCs w:val="24"/>
          <w:lang w:val="en-US" w:eastAsia="zh-CN"/>
        </w:rPr>
        <w:t>稳评主管部门</w:t>
      </w:r>
      <w:r>
        <w:rPr>
          <w:rFonts w:hint="eastAsia" w:ascii="宋体" w:hAnsi="宋体" w:cs="Times New Roman"/>
          <w:kern w:val="2"/>
          <w:sz w:val="24"/>
          <w:szCs w:val="24"/>
          <w:highlight w:val="none"/>
          <w:lang w:val="en-US" w:eastAsia="zh-CN" w:bidi="ar-SA"/>
        </w:rPr>
        <w:t>，由</w:t>
      </w:r>
      <w:r>
        <w:rPr>
          <w:rFonts w:hint="eastAsia" w:ascii="宋体" w:hAnsi="宋体"/>
          <w:sz w:val="24"/>
          <w:szCs w:val="24"/>
          <w:lang w:val="en-US" w:eastAsia="zh-CN"/>
        </w:rPr>
        <w:t>稳评主管部门</w:t>
      </w:r>
      <w:r>
        <w:rPr>
          <w:rFonts w:hint="eastAsia" w:ascii="宋体" w:hAnsi="宋体" w:cs="Times New Roman"/>
          <w:kern w:val="2"/>
          <w:sz w:val="24"/>
          <w:szCs w:val="24"/>
          <w:highlight w:val="none"/>
          <w:lang w:val="en-US" w:eastAsia="zh-CN" w:bidi="ar-SA"/>
        </w:rPr>
        <w:t>组织专家对评估报告进行评审，并提出意见和建议。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24"/>
          <w:szCs w:val="24"/>
          <w:highlight w:val="none"/>
          <w:lang w:val="en-US" w:eastAsia="zh-CN" w:bidi="ar-SA"/>
        </w:rPr>
        <w:t>（8）会后，稳评工作组对报告进行修改，填写《社会稳定风险评估评审表（试行）》，连同《评估报告》交</w:t>
      </w:r>
      <w:r>
        <w:rPr>
          <w:rFonts w:hint="eastAsia" w:ascii="宋体" w:hAnsi="宋体"/>
          <w:sz w:val="24"/>
          <w:szCs w:val="24"/>
          <w:lang w:val="en-US" w:eastAsia="zh-CN"/>
        </w:rPr>
        <w:t>稳评主管部门</w:t>
      </w:r>
      <w:r>
        <w:rPr>
          <w:rFonts w:hint="eastAsia" w:ascii="宋体" w:hAnsi="宋体" w:cs="Times New Roman"/>
          <w:kern w:val="2"/>
          <w:sz w:val="24"/>
          <w:szCs w:val="24"/>
          <w:highlight w:val="none"/>
          <w:lang w:val="en-US" w:eastAsia="zh-CN" w:bidi="ar-SA"/>
        </w:rPr>
        <w:t>备案，备案后，将《评估报告》及《社会稳定风险评估评审表（试行）》交给采购人。</w:t>
      </w:r>
    </w:p>
    <w:p>
      <w:pPr>
        <w:numPr>
          <w:ilvl w:val="0"/>
          <w:numId w:val="0"/>
        </w:numPr>
        <w:spacing w:line="360" w:lineRule="auto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六、稳评成果要求：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向采购人提交</w:t>
      </w:r>
      <w:r>
        <w:rPr>
          <w:rFonts w:hint="eastAsia" w:ascii="宋体" w:hAnsi="宋体" w:eastAsia="宋体" w:cs="Times New Roman"/>
          <w:sz w:val="24"/>
          <w:szCs w:val="24"/>
          <w:lang w:val="zh-CN" w:eastAsia="zh-CN"/>
        </w:rPr>
        <w:t>包括纸质报告(原件）3套和电子版</w:t>
      </w:r>
      <w:r>
        <w:rPr>
          <w:rFonts w:hint="eastAsia" w:ascii="宋体" w:hAnsi="宋体"/>
          <w:sz w:val="24"/>
          <w:szCs w:val="24"/>
          <w:lang w:val="en-US" w:eastAsia="zh-CN"/>
        </w:rPr>
        <w:t>本1套的项目稳评案卷，稳评案卷应符合国家及地方有关规定，对其质量负全面责任，案卷经稳评主管部门对其稳评过程和结论审查认可后，视为符合要求。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1、本项目</w:t>
      </w:r>
      <w:r>
        <w:rPr>
          <w:rFonts w:hint="eastAsia" w:ascii="宋体" w:hAnsi="宋体"/>
          <w:sz w:val="24"/>
          <w:szCs w:val="24"/>
          <w:lang w:val="en-US" w:eastAsia="zh-CN"/>
        </w:rPr>
        <w:t>稳评</w:t>
      </w:r>
      <w:r>
        <w:rPr>
          <w:rFonts w:hint="eastAsia" w:ascii="宋体" w:hAnsi="宋体"/>
          <w:sz w:val="24"/>
          <w:szCs w:val="24"/>
        </w:rPr>
        <w:t>报告内容包括但不限于：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default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（1）项目概况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（2）</w:t>
      </w:r>
      <w:r>
        <w:rPr>
          <w:rFonts w:hint="eastAsia" w:ascii="宋体" w:hAnsi="宋体"/>
          <w:sz w:val="24"/>
          <w:szCs w:val="24"/>
          <w:lang w:val="en-US" w:eastAsia="zh-CN"/>
        </w:rPr>
        <w:t>评估依据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default" w:ascii="宋体" w:hAnsi="宋体"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</w:rPr>
        <w:t>（3）</w:t>
      </w:r>
      <w:r>
        <w:rPr>
          <w:rFonts w:hint="eastAsia" w:ascii="宋体" w:hAnsi="宋体"/>
          <w:sz w:val="24"/>
          <w:szCs w:val="24"/>
          <w:lang w:val="en-US" w:eastAsia="zh-CN"/>
        </w:rPr>
        <w:t>评估单位调查内容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hint="eastAsia" w:ascii="宋体" w:hAnsi="宋体"/>
          <w:sz w:val="24"/>
          <w:szCs w:val="24"/>
          <w:lang w:val="en-US" w:eastAsia="zh-CN"/>
        </w:rPr>
        <w:t>风险识别及风险评估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hint="eastAsia" w:ascii="宋体" w:hAnsi="宋体"/>
          <w:sz w:val="24"/>
          <w:szCs w:val="24"/>
          <w:lang w:val="en-US" w:eastAsia="zh-CN"/>
        </w:rPr>
        <w:t>风险防范及化解措施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）结论和建议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>七、服务周期：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40" w:leftChars="200" w:firstLine="480" w:firstLineChars="200"/>
        <w:jc w:val="left"/>
        <w:textAlignment w:val="auto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  <w:t>合同签订后，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60天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  <w:t>内完成对该项目社会稳定性评估材料的收集、编制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  <w:t>备案工作。（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zh-CN" w:eastAsia="zh-CN" w:bidi="ar-SA"/>
        </w:rPr>
        <w:t>实际工作期可能会发生相应调整，中标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供应商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zh-CN" w:eastAsia="zh-CN" w:bidi="ar-SA"/>
        </w:rPr>
        <w:t>应服从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采购人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zh-CN" w:eastAsia="zh-CN" w:bidi="ar-SA"/>
        </w:rPr>
        <w:t>的统一工作安排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  <w:t>）</w:t>
      </w:r>
    </w:p>
    <w:p>
      <w:pPr>
        <w:tabs>
          <w:tab w:val="left" w:pos="1690"/>
        </w:tabs>
        <w:rPr>
          <w:rFonts w:ascii="宋体" w:hAnsi="宋体"/>
        </w:rPr>
      </w:pPr>
      <w:bookmarkStart w:id="2" w:name="_GoBack"/>
      <w:bookmarkEnd w:id="2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BA425E"/>
    <w:multiLevelType w:val="singleLevel"/>
    <w:tmpl w:val="64BA425E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1NTIwYTQ3YjEzOTg0NjM0MDFkZmJlMTFmNDA4NzkifQ=="/>
  </w:docVars>
  <w:rsids>
    <w:rsidRoot w:val="00FF3FD4"/>
    <w:rsid w:val="0000412D"/>
    <w:rsid w:val="0002217C"/>
    <w:rsid w:val="00032232"/>
    <w:rsid w:val="00050394"/>
    <w:rsid w:val="00070A64"/>
    <w:rsid w:val="00090184"/>
    <w:rsid w:val="000973EE"/>
    <w:rsid w:val="000B693A"/>
    <w:rsid w:val="000C04B9"/>
    <w:rsid w:val="000C7C35"/>
    <w:rsid w:val="00101A07"/>
    <w:rsid w:val="00105BCC"/>
    <w:rsid w:val="0011078B"/>
    <w:rsid w:val="00123535"/>
    <w:rsid w:val="00141299"/>
    <w:rsid w:val="001445B0"/>
    <w:rsid w:val="001474CE"/>
    <w:rsid w:val="001629D4"/>
    <w:rsid w:val="00167B50"/>
    <w:rsid w:val="00184A4D"/>
    <w:rsid w:val="00196241"/>
    <w:rsid w:val="001B25D9"/>
    <w:rsid w:val="001C48D9"/>
    <w:rsid w:val="001D4C02"/>
    <w:rsid w:val="001D5946"/>
    <w:rsid w:val="001F6B8D"/>
    <w:rsid w:val="0021183D"/>
    <w:rsid w:val="0023180A"/>
    <w:rsid w:val="00236239"/>
    <w:rsid w:val="00286087"/>
    <w:rsid w:val="002A55FD"/>
    <w:rsid w:val="002A63FB"/>
    <w:rsid w:val="002B4164"/>
    <w:rsid w:val="002D5D2D"/>
    <w:rsid w:val="00315CF4"/>
    <w:rsid w:val="00316134"/>
    <w:rsid w:val="00330B01"/>
    <w:rsid w:val="00336212"/>
    <w:rsid w:val="003674CF"/>
    <w:rsid w:val="003808AE"/>
    <w:rsid w:val="0038370C"/>
    <w:rsid w:val="0038595A"/>
    <w:rsid w:val="003A3E22"/>
    <w:rsid w:val="003B1873"/>
    <w:rsid w:val="003B1B94"/>
    <w:rsid w:val="003C2E4A"/>
    <w:rsid w:val="003E2B42"/>
    <w:rsid w:val="003F2ED4"/>
    <w:rsid w:val="003F570A"/>
    <w:rsid w:val="004210C1"/>
    <w:rsid w:val="0042252D"/>
    <w:rsid w:val="0043599E"/>
    <w:rsid w:val="00444301"/>
    <w:rsid w:val="00447C79"/>
    <w:rsid w:val="00462608"/>
    <w:rsid w:val="00477A43"/>
    <w:rsid w:val="004D6041"/>
    <w:rsid w:val="004E44C3"/>
    <w:rsid w:val="00542124"/>
    <w:rsid w:val="005608CE"/>
    <w:rsid w:val="005734D3"/>
    <w:rsid w:val="00595863"/>
    <w:rsid w:val="005B2EF6"/>
    <w:rsid w:val="005D0DCF"/>
    <w:rsid w:val="005D4C12"/>
    <w:rsid w:val="005E6E06"/>
    <w:rsid w:val="005F5D33"/>
    <w:rsid w:val="00606EEC"/>
    <w:rsid w:val="00623AED"/>
    <w:rsid w:val="00627B68"/>
    <w:rsid w:val="00650F22"/>
    <w:rsid w:val="00657FC7"/>
    <w:rsid w:val="00670F68"/>
    <w:rsid w:val="0069521B"/>
    <w:rsid w:val="006978C8"/>
    <w:rsid w:val="006A3CC1"/>
    <w:rsid w:val="006B2951"/>
    <w:rsid w:val="006B406B"/>
    <w:rsid w:val="006C6E5B"/>
    <w:rsid w:val="006C6FB8"/>
    <w:rsid w:val="006D6A3B"/>
    <w:rsid w:val="006F31F6"/>
    <w:rsid w:val="00736735"/>
    <w:rsid w:val="00741845"/>
    <w:rsid w:val="007728FA"/>
    <w:rsid w:val="007A47DC"/>
    <w:rsid w:val="007E7D44"/>
    <w:rsid w:val="008064F5"/>
    <w:rsid w:val="008571A6"/>
    <w:rsid w:val="008724E9"/>
    <w:rsid w:val="00883BF2"/>
    <w:rsid w:val="0089086F"/>
    <w:rsid w:val="008B4099"/>
    <w:rsid w:val="008E63AA"/>
    <w:rsid w:val="008F2FE9"/>
    <w:rsid w:val="008F3B64"/>
    <w:rsid w:val="008F6590"/>
    <w:rsid w:val="009218DB"/>
    <w:rsid w:val="009311AD"/>
    <w:rsid w:val="009453AD"/>
    <w:rsid w:val="0095406C"/>
    <w:rsid w:val="00956EB8"/>
    <w:rsid w:val="00960199"/>
    <w:rsid w:val="0096685E"/>
    <w:rsid w:val="00975FC2"/>
    <w:rsid w:val="00986234"/>
    <w:rsid w:val="0099158F"/>
    <w:rsid w:val="009D4DC0"/>
    <w:rsid w:val="009E0C5C"/>
    <w:rsid w:val="00A013E6"/>
    <w:rsid w:val="00A06111"/>
    <w:rsid w:val="00A11853"/>
    <w:rsid w:val="00A44168"/>
    <w:rsid w:val="00A47CBE"/>
    <w:rsid w:val="00A607F7"/>
    <w:rsid w:val="00A61E25"/>
    <w:rsid w:val="00A71906"/>
    <w:rsid w:val="00A73ACF"/>
    <w:rsid w:val="00A73F08"/>
    <w:rsid w:val="00A83890"/>
    <w:rsid w:val="00AA5D93"/>
    <w:rsid w:val="00AB58E8"/>
    <w:rsid w:val="00AD6F4E"/>
    <w:rsid w:val="00AE258E"/>
    <w:rsid w:val="00B00D27"/>
    <w:rsid w:val="00B07855"/>
    <w:rsid w:val="00B30D15"/>
    <w:rsid w:val="00B310F2"/>
    <w:rsid w:val="00B3254E"/>
    <w:rsid w:val="00B63CA1"/>
    <w:rsid w:val="00B760CA"/>
    <w:rsid w:val="00B77C93"/>
    <w:rsid w:val="00BC0415"/>
    <w:rsid w:val="00BC2334"/>
    <w:rsid w:val="00BE72AE"/>
    <w:rsid w:val="00BF191F"/>
    <w:rsid w:val="00BF2443"/>
    <w:rsid w:val="00BF5585"/>
    <w:rsid w:val="00C25AA9"/>
    <w:rsid w:val="00C46D3E"/>
    <w:rsid w:val="00C53EBD"/>
    <w:rsid w:val="00C54C8D"/>
    <w:rsid w:val="00C601E2"/>
    <w:rsid w:val="00C636F4"/>
    <w:rsid w:val="00C8120B"/>
    <w:rsid w:val="00C840AC"/>
    <w:rsid w:val="00CD3A3D"/>
    <w:rsid w:val="00CD5879"/>
    <w:rsid w:val="00CF7EEF"/>
    <w:rsid w:val="00D00718"/>
    <w:rsid w:val="00D15AB1"/>
    <w:rsid w:val="00D22843"/>
    <w:rsid w:val="00D26810"/>
    <w:rsid w:val="00D350C0"/>
    <w:rsid w:val="00D76595"/>
    <w:rsid w:val="00D83EFF"/>
    <w:rsid w:val="00D84708"/>
    <w:rsid w:val="00D9397E"/>
    <w:rsid w:val="00DA01CD"/>
    <w:rsid w:val="00DA6596"/>
    <w:rsid w:val="00DC0377"/>
    <w:rsid w:val="00DE269A"/>
    <w:rsid w:val="00E1261C"/>
    <w:rsid w:val="00E74A60"/>
    <w:rsid w:val="00E94F48"/>
    <w:rsid w:val="00EB11C5"/>
    <w:rsid w:val="00EC1B07"/>
    <w:rsid w:val="00ED3C4D"/>
    <w:rsid w:val="00ED4F3D"/>
    <w:rsid w:val="00EF43C5"/>
    <w:rsid w:val="00EF4CEA"/>
    <w:rsid w:val="00F066CF"/>
    <w:rsid w:val="00F31D3A"/>
    <w:rsid w:val="00F44085"/>
    <w:rsid w:val="00F46ED7"/>
    <w:rsid w:val="00F61A42"/>
    <w:rsid w:val="00F77205"/>
    <w:rsid w:val="00F8644D"/>
    <w:rsid w:val="00F9070A"/>
    <w:rsid w:val="00FA0AD0"/>
    <w:rsid w:val="00FA116F"/>
    <w:rsid w:val="00FA526A"/>
    <w:rsid w:val="00FB4405"/>
    <w:rsid w:val="00FC2626"/>
    <w:rsid w:val="00FF3FD4"/>
    <w:rsid w:val="350864F2"/>
    <w:rsid w:val="39233F49"/>
    <w:rsid w:val="427951E2"/>
    <w:rsid w:val="45EF529A"/>
    <w:rsid w:val="7393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Arial" w:hAnsi="Arial" w:eastAsiaTheme="minorEastAsia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15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5">
    <w:name w:val="heading 2"/>
    <w:basedOn w:val="1"/>
    <w:next w:val="1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楷体_GB2312" w:hAnsi="Arial" w:eastAsia="楷体_GB2312"/>
      <w:kern w:val="0"/>
      <w:sz w:val="28"/>
      <w:szCs w:val="28"/>
    </w:rPr>
  </w:style>
  <w:style w:type="paragraph" w:styleId="3">
    <w:name w:val="Body Text 2"/>
    <w:basedOn w:val="1"/>
    <w:qFormat/>
    <w:uiPriority w:val="0"/>
    <w:rPr>
      <w:sz w:val="24"/>
      <w:szCs w:val="24"/>
    </w:rPr>
  </w:style>
  <w:style w:type="paragraph" w:styleId="6">
    <w:name w:val="Body Text Indent"/>
    <w:basedOn w:val="1"/>
    <w:qFormat/>
    <w:uiPriority w:val="0"/>
    <w:pPr>
      <w:ind w:firstLine="645"/>
    </w:pPr>
    <w:rPr>
      <w:rFonts w:ascii="楷体_GB2312" w:eastAsia="楷体_GB2312"/>
      <w:sz w:val="32"/>
      <w:szCs w:val="20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Title"/>
    <w:basedOn w:val="1"/>
    <w:next w:val="1"/>
    <w:link w:val="16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qFormat/>
    <w:uiPriority w:val="59"/>
    <w:pPr>
      <w:spacing w:after="0" w:line="240" w:lineRule="auto"/>
    </w:pPr>
    <w:rPr>
      <w:rFonts w:ascii="Arial" w:hAnsi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Heading 1 Char"/>
    <w:basedOn w:val="13"/>
    <w:link w:val="4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6">
    <w:name w:val="Title Char"/>
    <w:basedOn w:val="13"/>
    <w:link w:val="10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7">
    <w:name w:val="Header Char"/>
    <w:basedOn w:val="13"/>
    <w:link w:val="8"/>
    <w:qFormat/>
    <w:uiPriority w:val="99"/>
    <w:rPr>
      <w:rFonts w:ascii="Arial" w:hAnsi="Arial"/>
    </w:rPr>
  </w:style>
  <w:style w:type="character" w:customStyle="1" w:styleId="18">
    <w:name w:val="Footer Char"/>
    <w:basedOn w:val="13"/>
    <w:link w:val="7"/>
    <w:qFormat/>
    <w:uiPriority w:val="99"/>
    <w:rPr>
      <w:rFonts w:ascii="Arial" w:hAnsi="Arial"/>
    </w:rPr>
  </w:style>
  <w:style w:type="paragraph" w:customStyle="1" w:styleId="19">
    <w:name w:val="msg-list__item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0">
    <w:name w:val="段落 Char Char Char"/>
    <w:basedOn w:val="1"/>
    <w:qFormat/>
    <w:uiPriority w:val="0"/>
    <w:pPr>
      <w:topLinePunct/>
      <w:snapToGrid w:val="0"/>
      <w:spacing w:line="360" w:lineRule="auto"/>
      <w:ind w:firstLine="200" w:firstLineChars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x6i xmlns="eb32fcaf-44ad-4cac-80a9-c4bbda6aae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7AD0B5C452748B7B4BA0D0E8F5FC9" ma:contentTypeVersion="3" ma:contentTypeDescription="Create a new document." ma:contentTypeScope="" ma:versionID="6b12f32034082e324def68f51037d64f">
  <xsd:schema xmlns:xsd="http://www.w3.org/2001/XMLSchema" xmlns:xs="http://www.w3.org/2001/XMLSchema" xmlns:p="http://schemas.microsoft.com/office/2006/metadata/properties" xmlns:ns2="eb32fcaf-44ad-4cac-80a9-c4bbda6aae06" xmlns:ns3="705518eb-a91e-4a1e-b1c8-0924c24791df" targetNamespace="http://schemas.microsoft.com/office/2006/metadata/properties" ma:root="true" ma:fieldsID="6d642407b563f0032b6fdee9f73c72c7" ns2:_="" ns3:_="">
    <xsd:import namespace="eb32fcaf-44ad-4cac-80a9-c4bbda6aae06"/>
    <xsd:import namespace="705518eb-a91e-4a1e-b1c8-0924c24791df"/>
    <xsd:element name="properties">
      <xsd:complexType>
        <xsd:sequence>
          <xsd:element name="documentManagement">
            <xsd:complexType>
              <xsd:all>
                <xsd:element ref="ns2:cx6i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2fcaf-44ad-4cac-80a9-c4bbda6aae06" elementFormDefault="qualified">
    <xsd:import namespace="http://schemas.microsoft.com/office/2006/documentManagement/types"/>
    <xsd:import namespace="http://schemas.microsoft.com/office/infopath/2007/PartnerControls"/>
    <xsd:element name="cx6i" ma:index="8" nillable="true" ma:displayName="Number" ma:internalName="cx6i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518eb-a91e-4a1e-b1c8-0924c24791d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1FB33-3962-4C65-BB04-2912488D49EF}">
  <ds:schemaRefs/>
</ds:datastoreItem>
</file>

<file path=customXml/itemProps2.xml><?xml version="1.0" encoding="utf-8"?>
<ds:datastoreItem xmlns:ds="http://schemas.openxmlformats.org/officeDocument/2006/customXml" ds:itemID="{E17941C6-A4AC-4B64-9A2F-8150118D90C8}">
  <ds:schemaRefs/>
</ds:datastoreItem>
</file>

<file path=customXml/itemProps3.xml><?xml version="1.0" encoding="utf-8"?>
<ds:datastoreItem xmlns:ds="http://schemas.openxmlformats.org/officeDocument/2006/customXml" ds:itemID="{5471A283-8C16-4B2A-9C0C-C7FCD4BDF60B}">
  <ds:schemaRefs/>
</ds:datastoreItem>
</file>

<file path=customXml/itemProps4.xml><?xml version="1.0" encoding="utf-8"?>
<ds:datastoreItem xmlns:ds="http://schemas.openxmlformats.org/officeDocument/2006/customXml" ds:itemID="{543FD753-4D97-4EF9-8E0B-BCB932B2CC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Siemens</Company>
  <Pages>2</Pages>
  <Words>427</Words>
  <Characters>436</Characters>
  <Lines>12</Lines>
  <Paragraphs>3</Paragraphs>
  <TotalTime>0</TotalTime>
  <ScaleCrop>false</ScaleCrop>
  <LinksUpToDate>false</LinksUpToDate>
  <CharactersWithSpaces>437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2023-03-14T04:04:00Z</dcterms:created>
  <dc:creator>Long, Yang Yu Tong (SHS AP CHN CS BM)</dc:creator>
  <cp:keywords>C_Unrestricted</cp:keywords>
  <cp:lastModifiedBy>Administrator</cp:lastModifiedBy>
  <dcterms:modified xsi:type="dcterms:W3CDTF">2023-06-08T01:33:05Z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ContentTypeId">
    <vt:lpwstr>0x0101006D97AD0B5C452748B7B4BA0D0E8F5FC9</vt:lpwstr>
  </property>
  <property fmtid="{D5CDD505-2E9C-101B-9397-08002B2CF9AE}" pid="7" name="MSIP_Label_ff6dbec8-95a8-4638-9f5f-bd076536645c_Enabled">
    <vt:lpwstr>true</vt:lpwstr>
  </property>
  <property fmtid="{D5CDD505-2E9C-101B-9397-08002B2CF9AE}" pid="8" name="MSIP_Label_ff6dbec8-95a8-4638-9f5f-bd076536645c_SetDate">
    <vt:lpwstr>2021-07-25T04:56:39Z</vt:lpwstr>
  </property>
  <property fmtid="{D5CDD505-2E9C-101B-9397-08002B2CF9AE}" pid="9" name="MSIP_Label_ff6dbec8-95a8-4638-9f5f-bd076536645c_Method">
    <vt:lpwstr>Standard</vt:lpwstr>
  </property>
  <property fmtid="{D5CDD505-2E9C-101B-9397-08002B2CF9AE}" pid="10" name="MSIP_Label_ff6dbec8-95a8-4638-9f5f-bd076536645c_Name">
    <vt:lpwstr>Restricted - Default</vt:lpwstr>
  </property>
  <property fmtid="{D5CDD505-2E9C-101B-9397-08002B2CF9AE}" pid="11" name="MSIP_Label_ff6dbec8-95a8-4638-9f5f-bd076536645c_SiteId">
    <vt:lpwstr>5dbf1add-202a-4b8d-815b-bf0fb024e033</vt:lpwstr>
  </property>
  <property fmtid="{D5CDD505-2E9C-101B-9397-08002B2CF9AE}" pid="12" name="MSIP_Label_ff6dbec8-95a8-4638-9f5f-bd076536645c_ActionId">
    <vt:lpwstr>717bb522-974b-4a89-a6e3-c87003554686</vt:lpwstr>
  </property>
  <property fmtid="{D5CDD505-2E9C-101B-9397-08002B2CF9AE}" pid="13" name="MSIP_Label_ff6dbec8-95a8-4638-9f5f-bd076536645c_ContentBits">
    <vt:lpwstr>0</vt:lpwstr>
  </property>
  <property fmtid="{D5CDD505-2E9C-101B-9397-08002B2CF9AE}" pid="14" name="KSOProductBuildVer">
    <vt:lpwstr>2052-11.1.0.14309</vt:lpwstr>
  </property>
  <property fmtid="{D5CDD505-2E9C-101B-9397-08002B2CF9AE}" pid="15" name="ICV">
    <vt:lpwstr>569F2E84B95B428B9DA75861CB97EE3F_13</vt:lpwstr>
  </property>
</Properties>
</file>